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38C27" w14:textId="583C4A84" w:rsidR="00FA2D55" w:rsidRPr="009E401D" w:rsidRDefault="009E401D" w:rsidP="009E401D">
      <w:pPr>
        <w:spacing w:after="0" w:line="240" w:lineRule="auto"/>
        <w:jc w:val="both"/>
        <w:rPr>
          <w:rFonts w:ascii="Times New Roman" w:hAnsi="Times New Roman" w:cs="Times New Roman"/>
          <w:b/>
          <w:bCs/>
          <w:sz w:val="28"/>
          <w:szCs w:val="28"/>
          <w:u w:val="single"/>
          <w:lang w:val="en-US"/>
        </w:rPr>
      </w:pPr>
      <w:r w:rsidRPr="009E401D">
        <w:rPr>
          <w:rFonts w:ascii="Times New Roman" w:hAnsi="Times New Roman" w:cs="Times New Roman"/>
          <w:b/>
          <w:bCs/>
          <w:noProof/>
          <w:sz w:val="28"/>
          <w:szCs w:val="28"/>
        </w:rPr>
        <w:drawing>
          <wp:anchor distT="0" distB="0" distL="114300" distR="114300" simplePos="0" relativeHeight="251659264" behindDoc="0" locked="0" layoutInCell="1" allowOverlap="1" wp14:anchorId="1C0393E7" wp14:editId="62408C4C">
            <wp:simplePos x="0" y="0"/>
            <wp:positionH relativeFrom="margin">
              <wp:posOffset>2362200</wp:posOffset>
            </wp:positionH>
            <wp:positionV relativeFrom="paragraph">
              <wp:posOffset>-476250</wp:posOffset>
            </wp:positionV>
            <wp:extent cx="1440611" cy="1440611"/>
            <wp:effectExtent l="0" t="0" r="7620" b="762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28C148A4" w14:textId="77777777" w:rsidR="00A5564C" w:rsidRPr="009E401D" w:rsidRDefault="00A5564C" w:rsidP="009E401D">
      <w:pPr>
        <w:spacing w:after="0" w:line="240" w:lineRule="auto"/>
        <w:jc w:val="both"/>
        <w:rPr>
          <w:rFonts w:ascii="Times New Roman" w:hAnsi="Times New Roman" w:cs="Times New Roman"/>
          <w:b/>
          <w:bCs/>
          <w:sz w:val="28"/>
          <w:szCs w:val="28"/>
          <w:u w:val="single"/>
          <w:lang w:val="en-US"/>
        </w:rPr>
      </w:pPr>
    </w:p>
    <w:p w14:paraId="6D8E1568" w14:textId="77777777" w:rsidR="00A5564C" w:rsidRPr="009E401D" w:rsidRDefault="00A5564C" w:rsidP="009E401D">
      <w:pPr>
        <w:spacing w:after="0" w:line="240" w:lineRule="auto"/>
        <w:jc w:val="both"/>
        <w:rPr>
          <w:rFonts w:ascii="Times New Roman" w:hAnsi="Times New Roman" w:cs="Times New Roman"/>
          <w:b/>
          <w:bCs/>
          <w:sz w:val="28"/>
          <w:szCs w:val="28"/>
          <w:u w:val="single"/>
          <w:lang w:val="en-US"/>
        </w:rPr>
      </w:pPr>
    </w:p>
    <w:p w14:paraId="44BA1636" w14:textId="77777777" w:rsidR="00A5564C" w:rsidRPr="009E401D" w:rsidRDefault="00A5564C" w:rsidP="009E401D">
      <w:pPr>
        <w:spacing w:after="0" w:line="240" w:lineRule="auto"/>
        <w:jc w:val="both"/>
        <w:rPr>
          <w:rFonts w:ascii="Times New Roman" w:hAnsi="Times New Roman" w:cs="Times New Roman"/>
          <w:b/>
          <w:bCs/>
          <w:sz w:val="28"/>
          <w:szCs w:val="28"/>
          <w:u w:val="single"/>
          <w:lang w:val="en-US"/>
        </w:rPr>
      </w:pPr>
    </w:p>
    <w:p w14:paraId="50DBE189" w14:textId="77777777" w:rsidR="00A5564C" w:rsidRPr="009E401D" w:rsidRDefault="00A5564C" w:rsidP="009E401D">
      <w:pPr>
        <w:spacing w:after="0" w:line="240" w:lineRule="auto"/>
        <w:jc w:val="center"/>
        <w:rPr>
          <w:rFonts w:ascii="Times New Roman" w:hAnsi="Times New Roman" w:cs="Times New Roman"/>
          <w:b/>
          <w:bCs/>
          <w:sz w:val="28"/>
          <w:szCs w:val="28"/>
          <w:u w:val="single"/>
          <w:lang w:val="en-US"/>
        </w:rPr>
      </w:pPr>
    </w:p>
    <w:p w14:paraId="0E652B95" w14:textId="77777777" w:rsidR="00A5564C" w:rsidRPr="009E401D" w:rsidRDefault="00A5564C" w:rsidP="009E401D">
      <w:pPr>
        <w:spacing w:after="0" w:line="240" w:lineRule="auto"/>
        <w:jc w:val="center"/>
        <w:rPr>
          <w:rFonts w:ascii="Times New Roman" w:hAnsi="Times New Roman" w:cs="Times New Roman"/>
          <w:b/>
          <w:bCs/>
          <w:sz w:val="28"/>
          <w:szCs w:val="28"/>
          <w:u w:val="single"/>
          <w:lang w:val="fr-FR"/>
        </w:rPr>
      </w:pPr>
      <w:r w:rsidRPr="009E401D">
        <w:rPr>
          <w:rFonts w:ascii="Times New Roman" w:hAnsi="Times New Roman" w:cs="Times New Roman"/>
          <w:b/>
          <w:bCs/>
          <w:sz w:val="28"/>
          <w:szCs w:val="28"/>
          <w:u w:val="single"/>
          <w:lang w:val="fr-FR"/>
        </w:rPr>
        <w:t>NOTE EXPLICATIVE: POINT 6 DE L'ORDRE DU JOUR</w:t>
      </w:r>
    </w:p>
    <w:p w14:paraId="702551F8" w14:textId="33B05545" w:rsidR="00624BE7" w:rsidRDefault="00A5564C" w:rsidP="009E401D">
      <w:pPr>
        <w:spacing w:after="0" w:line="240" w:lineRule="auto"/>
        <w:jc w:val="center"/>
        <w:rPr>
          <w:rFonts w:ascii="Times New Roman" w:hAnsi="Times New Roman" w:cs="Times New Roman"/>
          <w:b/>
          <w:bCs/>
          <w:sz w:val="28"/>
          <w:szCs w:val="28"/>
          <w:u w:val="single"/>
          <w:lang w:val="fr-FR"/>
        </w:rPr>
      </w:pPr>
      <w:r w:rsidRPr="009E401D">
        <w:rPr>
          <w:rFonts w:ascii="Times New Roman" w:hAnsi="Times New Roman" w:cs="Times New Roman"/>
          <w:b/>
          <w:bCs/>
          <w:sz w:val="28"/>
          <w:szCs w:val="28"/>
          <w:u w:val="single"/>
          <w:lang w:val="fr-FR"/>
        </w:rPr>
        <w:t>PROGRAMMES DE L'OISA DANS LE CADRE DU PROGRAMME DE L'OCI POUR LA SCIENCE, LA TECHNOLOGIE ET LES INNOVATIONS (STI 2026)</w:t>
      </w:r>
    </w:p>
    <w:p w14:paraId="0EC3FAE8" w14:textId="77777777" w:rsidR="009E401D" w:rsidRPr="009E401D" w:rsidRDefault="009E401D" w:rsidP="009E401D">
      <w:pPr>
        <w:spacing w:after="0" w:line="240" w:lineRule="auto"/>
        <w:jc w:val="center"/>
        <w:rPr>
          <w:rFonts w:ascii="Times New Roman" w:hAnsi="Times New Roman" w:cs="Times New Roman"/>
          <w:b/>
          <w:bCs/>
          <w:sz w:val="28"/>
          <w:szCs w:val="28"/>
          <w:u w:val="single"/>
          <w:lang w:val="fr-FR"/>
        </w:rPr>
      </w:pPr>
    </w:p>
    <w:p w14:paraId="3112A7A8" w14:textId="77777777" w:rsidR="00A5564C" w:rsidRPr="009E401D" w:rsidRDefault="00A5564C" w:rsidP="003D31E2">
      <w:pPr>
        <w:pStyle w:val="a3"/>
        <w:numPr>
          <w:ilvl w:val="0"/>
          <w:numId w:val="11"/>
        </w:numPr>
        <w:spacing w:before="120" w:after="0" w:line="240" w:lineRule="auto"/>
        <w:ind w:left="567" w:hanging="425"/>
        <w:contextualSpacing w:val="0"/>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Développement de banques nationales de gènes</w:t>
      </w:r>
    </w:p>
    <w:p w14:paraId="33B6B0F9" w14:textId="546F39E6" w:rsidR="00A5564C" w:rsidRPr="009E401D" w:rsidRDefault="00A5564C" w:rsidP="003D31E2">
      <w:pPr>
        <w:pStyle w:val="a3"/>
        <w:numPr>
          <w:ilvl w:val="0"/>
          <w:numId w:val="11"/>
        </w:numPr>
        <w:spacing w:before="120" w:after="0" w:line="240" w:lineRule="auto"/>
        <w:ind w:left="567" w:hanging="425"/>
        <w:contextualSpacing w:val="0"/>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Gestion de l'eau dans l'agriculture</w:t>
      </w:r>
    </w:p>
    <w:p w14:paraId="382891EF" w14:textId="1CC228AD" w:rsidR="00460AD5" w:rsidRPr="009E401D" w:rsidRDefault="00A5564C" w:rsidP="003D31E2">
      <w:pPr>
        <w:pStyle w:val="a3"/>
        <w:numPr>
          <w:ilvl w:val="0"/>
          <w:numId w:val="11"/>
        </w:numPr>
        <w:spacing w:before="120" w:after="0" w:line="240" w:lineRule="auto"/>
        <w:ind w:left="567" w:hanging="425"/>
        <w:contextualSpacing w:val="0"/>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Gestion transfrontalière de la lutte antiparasitaire</w:t>
      </w:r>
    </w:p>
    <w:p w14:paraId="58C84404" w14:textId="77777777" w:rsidR="00D2132A" w:rsidRPr="009E401D" w:rsidRDefault="00D2132A" w:rsidP="009E401D">
      <w:pPr>
        <w:spacing w:before="120" w:after="0" w:line="240" w:lineRule="auto"/>
        <w:jc w:val="both"/>
        <w:rPr>
          <w:rFonts w:ascii="Times New Roman" w:hAnsi="Times New Roman" w:cs="Times New Roman"/>
          <w:sz w:val="28"/>
          <w:szCs w:val="28"/>
          <w:lang w:val="fr-FR"/>
        </w:rPr>
      </w:pPr>
    </w:p>
    <w:p w14:paraId="21757043" w14:textId="73413EEC" w:rsidR="00A30F80" w:rsidRPr="00FB76F8" w:rsidRDefault="00A5564C" w:rsidP="003D31E2">
      <w:pPr>
        <w:pStyle w:val="a3"/>
        <w:numPr>
          <w:ilvl w:val="0"/>
          <w:numId w:val="22"/>
        </w:numPr>
        <w:tabs>
          <w:tab w:val="left" w:pos="993"/>
        </w:tabs>
        <w:spacing w:before="120" w:after="0" w:line="240" w:lineRule="auto"/>
        <w:ind w:left="567" w:hanging="425"/>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Développement de banques nationales de gènes</w:t>
      </w:r>
    </w:p>
    <w:p w14:paraId="31606DD1" w14:textId="02F1F832" w:rsidR="00A30F80" w:rsidRPr="009E401D" w:rsidRDefault="00A30F80" w:rsidP="009E401D">
      <w:pPr>
        <w:spacing w:after="0" w:line="240" w:lineRule="auto"/>
        <w:jc w:val="both"/>
        <w:rPr>
          <w:rFonts w:ascii="Times New Roman" w:hAnsi="Times New Roman" w:cs="Times New Roman"/>
          <w:b/>
          <w:bCs/>
          <w:sz w:val="28"/>
          <w:szCs w:val="28"/>
          <w:lang w:val="fr-FR"/>
        </w:rPr>
      </w:pPr>
      <w:r w:rsidRPr="009E401D">
        <w:rPr>
          <w:rFonts w:ascii="Times New Roman" w:hAnsi="Times New Roman" w:cs="Times New Roman"/>
          <w:b/>
          <w:bCs/>
          <w:sz w:val="28"/>
          <w:szCs w:val="28"/>
          <w:lang w:val="fr-FR"/>
        </w:rPr>
        <w:t>Pr</w:t>
      </w:r>
      <w:r w:rsidR="00A5564C" w:rsidRPr="009E401D">
        <w:rPr>
          <w:rFonts w:ascii="Times New Roman" w:hAnsi="Times New Roman" w:cs="Times New Roman"/>
          <w:b/>
          <w:bCs/>
          <w:sz w:val="28"/>
          <w:szCs w:val="28"/>
          <w:lang w:val="fr-FR"/>
        </w:rPr>
        <w:t>é</w:t>
      </w:r>
      <w:r w:rsidRPr="009E401D">
        <w:rPr>
          <w:rFonts w:ascii="Times New Roman" w:hAnsi="Times New Roman" w:cs="Times New Roman"/>
          <w:b/>
          <w:bCs/>
          <w:sz w:val="28"/>
          <w:szCs w:val="28"/>
          <w:lang w:val="fr-FR"/>
        </w:rPr>
        <w:t>amb</w:t>
      </w:r>
      <w:r w:rsidR="00A5564C" w:rsidRPr="009E401D">
        <w:rPr>
          <w:rFonts w:ascii="Times New Roman" w:hAnsi="Times New Roman" w:cs="Times New Roman"/>
          <w:b/>
          <w:bCs/>
          <w:sz w:val="28"/>
          <w:szCs w:val="28"/>
          <w:lang w:val="fr-FR"/>
        </w:rPr>
        <w:t>u</w:t>
      </w:r>
      <w:r w:rsidRPr="009E401D">
        <w:rPr>
          <w:rFonts w:ascii="Times New Roman" w:hAnsi="Times New Roman" w:cs="Times New Roman"/>
          <w:b/>
          <w:bCs/>
          <w:sz w:val="28"/>
          <w:szCs w:val="28"/>
          <w:lang w:val="fr-FR"/>
        </w:rPr>
        <w:t>le</w:t>
      </w:r>
    </w:p>
    <w:p w14:paraId="69301EF4" w14:textId="7E571B69" w:rsidR="00A5564C" w:rsidRDefault="00A5564C"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Il convient de rappeler que le premier Plan d'action quinquennal de l'OISA adopté par l'Assemblée Générale inaugurale dans la résolution GA / 6-2016 du 28 avril 2016 a intégré les activités de sélection végétale et la biodiversité dans les priorités à court terme de l'OISA. En outre, l'Agenda 2026 de l'OCI pour la science, la technologie et l'innovation (STI) adopté lors du premier sommet de l'OCI sur la science et la technologie tenu à Nour-Soultan, République du Kazakhstan le 10 septembre 2017 contenait des dispositions visant à encourager la création de banques nationales de gènes pour conservation et échange des ressources phytogénétiques (RPG) avec les centres de recherche des Etats membres de l'OCI.</w:t>
      </w:r>
    </w:p>
    <w:p w14:paraId="6EC38773" w14:textId="77777777" w:rsidR="009E401D" w:rsidRPr="009E401D" w:rsidRDefault="009E401D" w:rsidP="009E401D">
      <w:pPr>
        <w:spacing w:after="0" w:line="240" w:lineRule="auto"/>
        <w:jc w:val="both"/>
        <w:rPr>
          <w:rFonts w:ascii="Times New Roman" w:hAnsi="Times New Roman" w:cs="Times New Roman"/>
          <w:sz w:val="28"/>
          <w:szCs w:val="28"/>
          <w:lang w:val="fr-FR"/>
        </w:rPr>
      </w:pPr>
    </w:p>
    <w:p w14:paraId="76207438" w14:textId="5E302DCD" w:rsidR="00A5564C" w:rsidRDefault="00A5564C"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Le 4e Conseil Exécutif a approuvé le Programme d'activités 2020, comprenant l'Atelier sur le développement des banques nationales de gènes dans les États membres de l'OCI. L'Atelier a été organisé par vidéoconférence les 5 et 6 juillet 2020 par l'Organisation Islamique pour la Sécurité Alimentaire (OISA), Nour-Soultan, République du Kazakhstan, sous la présidence du Gouvernement des Émirats Arabes Unis, en collaboration avec le Comité permanent de et coopération technologique (COMSTECH), la Banque islamique de développement (BID), l'Organisation pour l'alimentation et l'agriculture (FAO) et le Centre international pour l'agriculture biosaline (ICBA). L'événement a réuni 157 participants représentant des experts / délégués de 30 États membres de l'OCI / OISA et des représentants de 10 institutions de l'OCI et organisations internationales.</w:t>
      </w:r>
    </w:p>
    <w:p w14:paraId="795A0861" w14:textId="77777777" w:rsidR="009E401D" w:rsidRPr="009E401D" w:rsidRDefault="009E401D" w:rsidP="009E401D">
      <w:pPr>
        <w:spacing w:after="0" w:line="240" w:lineRule="auto"/>
        <w:jc w:val="both"/>
        <w:rPr>
          <w:rFonts w:ascii="Times New Roman" w:hAnsi="Times New Roman" w:cs="Times New Roman"/>
          <w:sz w:val="28"/>
          <w:szCs w:val="28"/>
          <w:lang w:val="fr-FR"/>
        </w:rPr>
      </w:pPr>
    </w:p>
    <w:p w14:paraId="721DA8AE" w14:textId="561772AA" w:rsidR="00A30F80" w:rsidRPr="009E401D" w:rsidRDefault="00A5564C"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 xml:space="preserve">Le Secrétariat de l'OISA avait précédemment diffusé la Note conceptuelle sur l'Atelier, après avoir reçu des contributions des États membres concernant leurs expériences nationales sur les opérations des banques de gènes et des mécanismes de conservation génétique des plantes et des animaux. L'Atelier devait examiner la possibilité d'élaborer un mécanisme régional pour la protection, la conservation, </w:t>
      </w:r>
      <w:r w:rsidRPr="009E401D">
        <w:rPr>
          <w:rFonts w:ascii="Times New Roman" w:hAnsi="Times New Roman" w:cs="Times New Roman"/>
          <w:sz w:val="28"/>
          <w:szCs w:val="28"/>
          <w:lang w:val="fr-FR"/>
        </w:rPr>
        <w:lastRenderedPageBreak/>
        <w:t>l'échange de vues, le développement des capacités humaines et institutionnelles en ce qui concerne les ressources phytogénétiques pour l'alimentation et l'agriculture dans les Etats membres de l'OCI. L'Atelier s'est conclu par l'adoption de la Déclaration de Dubaï sur l'Atelier virtuel sur le développement des banques nationales de gènes dans les États membres de l'OCI</w:t>
      </w:r>
      <w:r w:rsidR="00A30F80" w:rsidRPr="009E401D">
        <w:rPr>
          <w:rFonts w:ascii="Times New Roman" w:hAnsi="Times New Roman" w:cs="Times New Roman"/>
          <w:sz w:val="28"/>
          <w:szCs w:val="28"/>
          <w:lang w:val="fr-FR"/>
        </w:rPr>
        <w:t>.</w:t>
      </w:r>
    </w:p>
    <w:p w14:paraId="76DD0D53" w14:textId="77777777" w:rsidR="00A30F80" w:rsidRPr="009E401D" w:rsidRDefault="00A30F80" w:rsidP="009E401D">
      <w:pPr>
        <w:spacing w:after="0" w:line="240" w:lineRule="auto"/>
        <w:jc w:val="both"/>
        <w:rPr>
          <w:rFonts w:ascii="Times New Roman" w:hAnsi="Times New Roman" w:cs="Times New Roman"/>
          <w:sz w:val="28"/>
          <w:szCs w:val="28"/>
          <w:lang w:val="fr-FR"/>
        </w:rPr>
      </w:pPr>
    </w:p>
    <w:p w14:paraId="19551B92" w14:textId="35819E63" w:rsidR="00A30F80" w:rsidRPr="009E401D" w:rsidRDefault="00A5564C" w:rsidP="009E401D">
      <w:pPr>
        <w:spacing w:after="0" w:line="240" w:lineRule="auto"/>
        <w:jc w:val="both"/>
        <w:rPr>
          <w:rFonts w:ascii="Times New Roman" w:hAnsi="Times New Roman" w:cs="Times New Roman"/>
          <w:b/>
          <w:bCs/>
          <w:sz w:val="28"/>
          <w:szCs w:val="28"/>
          <w:lang w:val="fr-FR"/>
        </w:rPr>
      </w:pPr>
      <w:r w:rsidRPr="009E401D">
        <w:rPr>
          <w:rFonts w:ascii="Times New Roman" w:hAnsi="Times New Roman" w:cs="Times New Roman"/>
          <w:b/>
          <w:bCs/>
          <w:sz w:val="28"/>
          <w:szCs w:val="28"/>
          <w:lang w:val="fr-FR"/>
        </w:rPr>
        <w:t>L</w:t>
      </w:r>
      <w:r w:rsidR="00931767">
        <w:rPr>
          <w:rFonts w:ascii="Times New Roman" w:hAnsi="Times New Roman" w:cs="Times New Roman"/>
          <w:b/>
          <w:bCs/>
          <w:sz w:val="28"/>
          <w:szCs w:val="28"/>
          <w:lang w:val="fr-FR"/>
        </w:rPr>
        <w:t>e</w:t>
      </w:r>
      <w:r w:rsidRPr="009E401D">
        <w:rPr>
          <w:rFonts w:ascii="Times New Roman" w:hAnsi="Times New Roman" w:cs="Times New Roman"/>
          <w:b/>
          <w:bCs/>
          <w:sz w:val="28"/>
          <w:szCs w:val="28"/>
          <w:lang w:val="fr-FR"/>
        </w:rPr>
        <w:t xml:space="preserve"> suiv</w:t>
      </w:r>
      <w:r w:rsidR="00E7550A" w:rsidRPr="009E401D">
        <w:rPr>
          <w:rFonts w:ascii="Times New Roman" w:hAnsi="Times New Roman" w:cs="Times New Roman"/>
          <w:b/>
          <w:bCs/>
          <w:sz w:val="28"/>
          <w:szCs w:val="28"/>
          <w:lang w:val="fr-FR"/>
        </w:rPr>
        <w:t>i</w:t>
      </w:r>
    </w:p>
    <w:p w14:paraId="22A7B5B7" w14:textId="0E007B8F" w:rsidR="00A5564C" w:rsidRDefault="00A5564C" w:rsidP="009E401D">
      <w:pPr>
        <w:spacing w:after="0" w:line="240" w:lineRule="auto"/>
        <w:jc w:val="both"/>
        <w:rPr>
          <w:rFonts w:ascii="Times New Roman" w:hAnsi="Times New Roman" w:cs="Times New Roman"/>
          <w:sz w:val="28"/>
          <w:szCs w:val="28"/>
          <w:lang w:val="fr-FR"/>
        </w:rPr>
      </w:pPr>
      <w:bookmarkStart w:id="0" w:name="_Hlk53065116"/>
      <w:r w:rsidRPr="009E401D">
        <w:rPr>
          <w:rFonts w:ascii="Times New Roman" w:hAnsi="Times New Roman" w:cs="Times New Roman"/>
          <w:sz w:val="28"/>
          <w:szCs w:val="28"/>
          <w:lang w:val="fr-FR"/>
        </w:rPr>
        <w:t>Selon le Cadre d'action pour la coopération sur les RGVAAA et les recommandations des experts dudit Atelier pour établir un comité technique qui aura la capacité et l'autorité de prendre des décisions sur les activités des banques nationales de gènes, et combinera l'expertise pour résoudre un problème auquel une industrie est confrontée.</w:t>
      </w:r>
    </w:p>
    <w:p w14:paraId="4390DC6A" w14:textId="77777777" w:rsidR="009E401D" w:rsidRPr="009E401D" w:rsidRDefault="009E401D" w:rsidP="009E401D">
      <w:pPr>
        <w:spacing w:after="0" w:line="240" w:lineRule="auto"/>
        <w:jc w:val="both"/>
        <w:rPr>
          <w:rFonts w:ascii="Times New Roman" w:hAnsi="Times New Roman" w:cs="Times New Roman"/>
          <w:sz w:val="28"/>
          <w:szCs w:val="28"/>
          <w:lang w:val="fr-FR"/>
        </w:rPr>
      </w:pPr>
    </w:p>
    <w:p w14:paraId="16F2E408" w14:textId="77777777" w:rsidR="00A5564C" w:rsidRPr="009E401D" w:rsidRDefault="00A5564C"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L'OISA propose que les représentants des organisations ci-dessous soient membres du Comité technique:</w:t>
      </w:r>
    </w:p>
    <w:p w14:paraId="7F22C35F" w14:textId="77777777" w:rsidR="00A5564C" w:rsidRPr="009E401D" w:rsidRDefault="00A5564C" w:rsidP="009E401D">
      <w:pPr>
        <w:pStyle w:val="a3"/>
        <w:numPr>
          <w:ilvl w:val="0"/>
          <w:numId w:val="13"/>
        </w:numPr>
        <w:spacing w:after="0" w:line="240" w:lineRule="auto"/>
        <w:jc w:val="both"/>
        <w:rPr>
          <w:rFonts w:ascii="Times New Roman" w:hAnsi="Times New Roman" w:cs="Times New Roman"/>
          <w:sz w:val="28"/>
          <w:szCs w:val="28"/>
        </w:rPr>
      </w:pPr>
      <w:r w:rsidRPr="009E401D">
        <w:rPr>
          <w:rFonts w:ascii="Times New Roman" w:hAnsi="Times New Roman" w:cs="Times New Roman"/>
          <w:sz w:val="28"/>
          <w:szCs w:val="28"/>
        </w:rPr>
        <w:t>Secrétariat de l'OCI;</w:t>
      </w:r>
    </w:p>
    <w:p w14:paraId="73AE03C0" w14:textId="77777777" w:rsidR="00A5564C" w:rsidRPr="009E401D" w:rsidRDefault="00A5564C" w:rsidP="009E401D">
      <w:pPr>
        <w:pStyle w:val="a3"/>
        <w:numPr>
          <w:ilvl w:val="0"/>
          <w:numId w:val="13"/>
        </w:numPr>
        <w:spacing w:after="0" w:line="240" w:lineRule="auto"/>
        <w:jc w:val="both"/>
        <w:rPr>
          <w:rFonts w:ascii="Times New Roman" w:hAnsi="Times New Roman" w:cs="Times New Roman"/>
          <w:sz w:val="28"/>
          <w:szCs w:val="28"/>
        </w:rPr>
      </w:pPr>
      <w:r w:rsidRPr="009E401D">
        <w:rPr>
          <w:rFonts w:ascii="Times New Roman" w:hAnsi="Times New Roman" w:cs="Times New Roman"/>
          <w:sz w:val="28"/>
          <w:szCs w:val="28"/>
        </w:rPr>
        <w:t>Secrétariat de l'OISA;</w:t>
      </w:r>
    </w:p>
    <w:p w14:paraId="75D2E0D8" w14:textId="77777777" w:rsidR="00A5564C" w:rsidRPr="009E401D" w:rsidRDefault="00A5564C" w:rsidP="009E401D">
      <w:pPr>
        <w:pStyle w:val="a3"/>
        <w:numPr>
          <w:ilvl w:val="0"/>
          <w:numId w:val="13"/>
        </w:num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Comité permanent de la coopération scientifique et technologique de l'OCI (COMSTECH);</w:t>
      </w:r>
    </w:p>
    <w:p w14:paraId="3608C7AA" w14:textId="77777777" w:rsidR="00A5564C" w:rsidRPr="009E401D" w:rsidRDefault="00A5564C" w:rsidP="009E401D">
      <w:pPr>
        <w:pStyle w:val="a3"/>
        <w:numPr>
          <w:ilvl w:val="0"/>
          <w:numId w:val="13"/>
        </w:num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Groupe de la Banque Islamique de Développement (BID);</w:t>
      </w:r>
    </w:p>
    <w:p w14:paraId="09E08EB7" w14:textId="77777777" w:rsidR="00A5564C" w:rsidRPr="009E401D" w:rsidRDefault="00A5564C" w:rsidP="009E401D">
      <w:pPr>
        <w:pStyle w:val="a3"/>
        <w:numPr>
          <w:ilvl w:val="0"/>
          <w:numId w:val="13"/>
        </w:num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Centre international pour l'agriculture biosaline (ICBA);</w:t>
      </w:r>
    </w:p>
    <w:p w14:paraId="06CFC0AD" w14:textId="77777777" w:rsidR="00A5564C" w:rsidRPr="009E401D" w:rsidRDefault="00A5564C" w:rsidP="009E401D">
      <w:pPr>
        <w:pStyle w:val="a3"/>
        <w:numPr>
          <w:ilvl w:val="0"/>
          <w:numId w:val="13"/>
        </w:num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Centre international de recherche agricole dans les zones arides (ICARDA); et</w:t>
      </w:r>
    </w:p>
    <w:p w14:paraId="6B1F572E" w14:textId="77777777" w:rsidR="00A5564C" w:rsidRPr="009E401D" w:rsidRDefault="00A5564C" w:rsidP="009E401D">
      <w:pPr>
        <w:pStyle w:val="a3"/>
        <w:numPr>
          <w:ilvl w:val="0"/>
          <w:numId w:val="13"/>
        </w:num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Organisation des Nations Unies pour l'alimentation et l'agriculture (FAO).</w:t>
      </w:r>
    </w:p>
    <w:p w14:paraId="2C60719A" w14:textId="77777777" w:rsidR="00A5564C" w:rsidRPr="009E401D" w:rsidRDefault="00A5564C"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 xml:space="preserve"> Et les représentants par régions / pays:</w:t>
      </w:r>
    </w:p>
    <w:bookmarkEnd w:id="0"/>
    <w:p w14:paraId="0AF2FE62" w14:textId="77777777" w:rsidR="00A5564C" w:rsidRPr="009E401D" w:rsidRDefault="00A5564C" w:rsidP="009E401D">
      <w:pPr>
        <w:pStyle w:val="a3"/>
        <w:numPr>
          <w:ilvl w:val="0"/>
          <w:numId w:val="16"/>
        </w:numPr>
        <w:spacing w:after="0" w:line="240" w:lineRule="auto"/>
        <w:jc w:val="both"/>
        <w:rPr>
          <w:rFonts w:ascii="Times New Roman" w:hAnsi="Times New Roman" w:cs="Times New Roman"/>
          <w:sz w:val="28"/>
          <w:szCs w:val="28"/>
        </w:rPr>
      </w:pPr>
      <w:r w:rsidRPr="009E401D">
        <w:rPr>
          <w:rFonts w:ascii="Times New Roman" w:hAnsi="Times New Roman" w:cs="Times New Roman"/>
          <w:sz w:val="28"/>
          <w:szCs w:val="28"/>
        </w:rPr>
        <w:t>Asie centrale - Kazakhstan;</w:t>
      </w:r>
    </w:p>
    <w:p w14:paraId="2715BC7C" w14:textId="77777777" w:rsidR="00A5564C" w:rsidRPr="009E401D" w:rsidRDefault="00A5564C" w:rsidP="009E401D">
      <w:pPr>
        <w:pStyle w:val="a3"/>
        <w:numPr>
          <w:ilvl w:val="0"/>
          <w:numId w:val="16"/>
        </w:numPr>
        <w:spacing w:after="0" w:line="240" w:lineRule="auto"/>
        <w:jc w:val="both"/>
        <w:rPr>
          <w:rFonts w:ascii="Times New Roman" w:hAnsi="Times New Roman" w:cs="Times New Roman"/>
          <w:sz w:val="28"/>
          <w:szCs w:val="28"/>
        </w:rPr>
      </w:pPr>
      <w:r w:rsidRPr="009E401D">
        <w:rPr>
          <w:rFonts w:ascii="Times New Roman" w:hAnsi="Times New Roman" w:cs="Times New Roman"/>
          <w:sz w:val="28"/>
          <w:szCs w:val="28"/>
        </w:rPr>
        <w:t>Asie - Pakistan et Turquie;</w:t>
      </w:r>
    </w:p>
    <w:p w14:paraId="07ECB472" w14:textId="77777777" w:rsidR="00A5564C" w:rsidRPr="009E401D" w:rsidRDefault="00A5564C" w:rsidP="009E401D">
      <w:pPr>
        <w:pStyle w:val="a3"/>
        <w:numPr>
          <w:ilvl w:val="0"/>
          <w:numId w:val="16"/>
        </w:num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Moyen-Orient - Émirats Arabes Unis et République Arabe d'Égypte; et</w:t>
      </w:r>
    </w:p>
    <w:p w14:paraId="196433FE" w14:textId="78BC0BCC" w:rsidR="00A30F80" w:rsidRDefault="00A5564C" w:rsidP="009E401D">
      <w:pPr>
        <w:pStyle w:val="a3"/>
        <w:numPr>
          <w:ilvl w:val="0"/>
          <w:numId w:val="16"/>
        </w:num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Afrique - République Fédérale du Nigéria.</w:t>
      </w:r>
    </w:p>
    <w:p w14:paraId="611D7F54" w14:textId="77777777" w:rsidR="009E401D" w:rsidRPr="009E401D" w:rsidRDefault="009E401D" w:rsidP="009E401D">
      <w:pPr>
        <w:spacing w:after="0" w:line="240" w:lineRule="auto"/>
        <w:jc w:val="both"/>
        <w:rPr>
          <w:rFonts w:ascii="Times New Roman" w:hAnsi="Times New Roman" w:cs="Times New Roman"/>
          <w:sz w:val="28"/>
          <w:szCs w:val="28"/>
          <w:lang w:val="fr-FR"/>
        </w:rPr>
      </w:pPr>
    </w:p>
    <w:p w14:paraId="342B6161" w14:textId="22B24052" w:rsidR="00A30F80" w:rsidRPr="009E401D" w:rsidRDefault="00E7550A" w:rsidP="009E401D">
      <w:pPr>
        <w:spacing w:before="120" w:after="0" w:line="240" w:lineRule="auto"/>
        <w:jc w:val="both"/>
        <w:rPr>
          <w:rFonts w:ascii="Times New Roman" w:hAnsi="Times New Roman" w:cs="Times New Roman"/>
          <w:b/>
          <w:bCs/>
          <w:sz w:val="28"/>
          <w:szCs w:val="28"/>
          <w:lang w:val="fr-FR"/>
        </w:rPr>
      </w:pPr>
      <w:r w:rsidRPr="009E401D">
        <w:rPr>
          <w:rFonts w:ascii="Times New Roman" w:hAnsi="Times New Roman" w:cs="Times New Roman"/>
          <w:b/>
          <w:bCs/>
          <w:sz w:val="28"/>
          <w:szCs w:val="28"/>
          <w:lang w:val="fr-FR"/>
        </w:rPr>
        <w:t>La c</w:t>
      </w:r>
      <w:r w:rsidR="00A30F80" w:rsidRPr="009E401D">
        <w:rPr>
          <w:rFonts w:ascii="Times New Roman" w:hAnsi="Times New Roman" w:cs="Times New Roman"/>
          <w:b/>
          <w:bCs/>
          <w:sz w:val="28"/>
          <w:szCs w:val="28"/>
          <w:lang w:val="fr-FR"/>
        </w:rPr>
        <w:t>onclusion</w:t>
      </w:r>
    </w:p>
    <w:p w14:paraId="7F43925D" w14:textId="79DA34EB" w:rsidR="00A30F80" w:rsidRPr="009E401D" w:rsidRDefault="007222F9" w:rsidP="009E401D">
      <w:pPr>
        <w:spacing w:before="120" w:after="0" w:line="240" w:lineRule="auto"/>
        <w:jc w:val="both"/>
        <w:rPr>
          <w:rFonts w:ascii="Times New Roman" w:hAnsi="Times New Roman" w:cs="Times New Roman"/>
          <w:sz w:val="28"/>
          <w:szCs w:val="28"/>
          <w:lang w:val="fr-FR"/>
        </w:rPr>
      </w:pPr>
      <w:bookmarkStart w:id="1" w:name="_Hlk53739190"/>
      <w:r w:rsidRPr="009E401D">
        <w:rPr>
          <w:rFonts w:ascii="Times New Roman" w:hAnsi="Times New Roman" w:cs="Times New Roman"/>
          <w:sz w:val="28"/>
          <w:szCs w:val="28"/>
          <w:lang w:val="fr-FR"/>
        </w:rPr>
        <w:t>L'Assemblée Générale est invitée à examiner tous les documents de base sur le programme susmentionné et à examiner la note conceptuelle sur le développement des banques nationales dans les États membres de l'OCI et la création du Comité technique et de ses membres proposés pour approbation</w:t>
      </w:r>
      <w:r w:rsidR="00A30F80" w:rsidRPr="009E401D">
        <w:rPr>
          <w:rFonts w:ascii="Times New Roman" w:hAnsi="Times New Roman" w:cs="Times New Roman"/>
          <w:sz w:val="28"/>
          <w:szCs w:val="28"/>
          <w:lang w:val="fr-FR"/>
        </w:rPr>
        <w:t>.</w:t>
      </w:r>
      <w:bookmarkEnd w:id="1"/>
    </w:p>
    <w:p w14:paraId="6157E006" w14:textId="033A2E42" w:rsidR="00D2132A" w:rsidRPr="009E401D" w:rsidRDefault="00D2132A" w:rsidP="009E401D">
      <w:pPr>
        <w:spacing w:before="120" w:after="0" w:line="240" w:lineRule="auto"/>
        <w:jc w:val="both"/>
        <w:rPr>
          <w:rFonts w:ascii="Times New Roman" w:hAnsi="Times New Roman" w:cs="Times New Roman"/>
          <w:sz w:val="28"/>
          <w:szCs w:val="28"/>
          <w:lang w:val="fr-FR"/>
        </w:rPr>
      </w:pPr>
    </w:p>
    <w:p w14:paraId="4C4E1BD7" w14:textId="761C34E7" w:rsidR="009E401D" w:rsidRPr="00FB76F8" w:rsidRDefault="007222F9" w:rsidP="003D31E2">
      <w:pPr>
        <w:pStyle w:val="a3"/>
        <w:numPr>
          <w:ilvl w:val="0"/>
          <w:numId w:val="22"/>
        </w:numPr>
        <w:tabs>
          <w:tab w:val="left" w:pos="1134"/>
        </w:tabs>
        <w:spacing w:after="0" w:line="240" w:lineRule="auto"/>
        <w:ind w:left="426" w:hanging="426"/>
        <w:jc w:val="both"/>
        <w:rPr>
          <w:rFonts w:ascii="Times New Roman" w:hAnsi="Times New Roman" w:cs="Times New Roman"/>
          <w:sz w:val="28"/>
          <w:szCs w:val="28"/>
          <w:lang w:val="fr-FR"/>
        </w:rPr>
      </w:pPr>
      <w:r w:rsidRPr="00CF2282">
        <w:rPr>
          <w:rFonts w:ascii="Times New Roman" w:hAnsi="Times New Roman" w:cs="Times New Roman"/>
          <w:sz w:val="28"/>
          <w:szCs w:val="28"/>
          <w:lang w:val="fr-FR"/>
        </w:rPr>
        <w:t>Gestion de l'eau dans l'agriculture dans les états membres de l'OCI</w:t>
      </w:r>
    </w:p>
    <w:p w14:paraId="297267B1" w14:textId="75D37576" w:rsidR="009E401D" w:rsidRPr="009E401D" w:rsidRDefault="009E401D" w:rsidP="009E401D">
      <w:pPr>
        <w:spacing w:after="0" w:line="240" w:lineRule="auto"/>
        <w:jc w:val="both"/>
        <w:rPr>
          <w:rFonts w:ascii="Times New Roman" w:hAnsi="Times New Roman" w:cs="Times New Roman"/>
          <w:b/>
          <w:bCs/>
          <w:sz w:val="28"/>
          <w:szCs w:val="28"/>
          <w:lang w:val="fr-FR"/>
        </w:rPr>
      </w:pPr>
      <w:r w:rsidRPr="009E401D">
        <w:rPr>
          <w:rFonts w:ascii="Times New Roman" w:hAnsi="Times New Roman" w:cs="Times New Roman"/>
          <w:b/>
          <w:bCs/>
          <w:sz w:val="28"/>
          <w:szCs w:val="28"/>
          <w:lang w:val="fr-FR"/>
        </w:rPr>
        <w:t>Préambule</w:t>
      </w:r>
    </w:p>
    <w:p w14:paraId="70B62AA2" w14:textId="6E17E736" w:rsidR="00D2132A" w:rsidRDefault="007222F9" w:rsidP="009E401D">
      <w:pPr>
        <w:pStyle w:val="aa"/>
        <w:spacing w:before="120" w:after="0" w:line="240" w:lineRule="auto"/>
        <w:jc w:val="both"/>
        <w:rPr>
          <w:rFonts w:ascii="Times New Roman" w:eastAsiaTheme="minorHAnsi" w:hAnsi="Times New Roman" w:cs="Times New Roman"/>
          <w:color w:val="auto"/>
          <w:spacing w:val="0"/>
          <w:sz w:val="28"/>
          <w:szCs w:val="28"/>
          <w:lang w:val="fr-FR"/>
        </w:rPr>
      </w:pPr>
      <w:r w:rsidRPr="009E401D">
        <w:rPr>
          <w:rFonts w:ascii="Times New Roman" w:eastAsiaTheme="minorHAnsi" w:hAnsi="Times New Roman" w:cs="Times New Roman"/>
          <w:color w:val="auto"/>
          <w:spacing w:val="0"/>
          <w:sz w:val="28"/>
          <w:szCs w:val="28"/>
          <w:lang w:val="fr-FR"/>
        </w:rPr>
        <w:t xml:space="preserve">La gestion de l'eau et l'assainissement ont occupé le devant de la scène sur les fronts national et international. Outre qu'elle constitue le besoin fondamental de survie humaine et de vie saine, l'eau est essentielle pour la sécurité alimentaire et nutritionnelle, l'énergie et l'environnement. Cette utilisation multisectorielle de l'eau a exacerbé le problème de la rareté de l'eau et de l'insécurité alimentaire qui l'accompagne, en raison de la nature aride et semi-aride de la majorité des pays </w:t>
      </w:r>
      <w:r w:rsidRPr="009E401D">
        <w:rPr>
          <w:rFonts w:ascii="Times New Roman" w:eastAsiaTheme="minorHAnsi" w:hAnsi="Times New Roman" w:cs="Times New Roman"/>
          <w:color w:val="auto"/>
          <w:spacing w:val="0"/>
          <w:sz w:val="28"/>
          <w:szCs w:val="28"/>
          <w:lang w:val="fr-FR"/>
        </w:rPr>
        <w:lastRenderedPageBreak/>
        <w:t>formant l'Organisation de la Coopération Islamique (OCI). Bien entendu que l'Organisation islamique pour la sécurité alimentaire, une institution spécialisée de l'OCI a priorisé la question de la gestion de l'utilisation de l'eau dans le but de soutenir la production agro-alimentaire, l'accessibilité et la sécurité dans ses États membres</w:t>
      </w:r>
      <w:r w:rsidR="00D2132A" w:rsidRPr="009E401D">
        <w:rPr>
          <w:rFonts w:ascii="Times New Roman" w:eastAsiaTheme="minorHAnsi" w:hAnsi="Times New Roman" w:cs="Times New Roman"/>
          <w:color w:val="auto"/>
          <w:spacing w:val="0"/>
          <w:sz w:val="28"/>
          <w:szCs w:val="28"/>
          <w:lang w:val="fr-FR"/>
        </w:rPr>
        <w:t xml:space="preserve">. </w:t>
      </w:r>
    </w:p>
    <w:p w14:paraId="260DE320" w14:textId="77777777" w:rsidR="009E401D" w:rsidRPr="009E401D" w:rsidRDefault="009E401D" w:rsidP="009E401D">
      <w:pPr>
        <w:rPr>
          <w:lang w:val="fr-FR"/>
        </w:rPr>
      </w:pPr>
    </w:p>
    <w:p w14:paraId="2F4102B5" w14:textId="440E27C1" w:rsidR="007222F9" w:rsidRPr="009E401D" w:rsidRDefault="007222F9"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En conséquence, l'Organisation Islamique pour la Sécurité Alimentaire (IOISA) fournit une expertise et un savoir-faire technique aux États membres sur les divers aspects de l'agriculture durable, du développement rural, de la sécurité alimentaire et de la biotechnologie, y compris la résolution des problèmes posés par la désertification et la déforestation, l'érosion et la salinité.</w:t>
      </w:r>
    </w:p>
    <w:p w14:paraId="0D3ED602" w14:textId="77777777" w:rsidR="009E401D" w:rsidRDefault="009E401D" w:rsidP="009E401D">
      <w:pPr>
        <w:spacing w:after="0" w:line="240" w:lineRule="auto"/>
        <w:jc w:val="both"/>
        <w:rPr>
          <w:rFonts w:ascii="Times New Roman" w:hAnsi="Times New Roman" w:cs="Times New Roman"/>
          <w:sz w:val="28"/>
          <w:szCs w:val="28"/>
          <w:lang w:val="fr-FR"/>
        </w:rPr>
      </w:pPr>
    </w:p>
    <w:p w14:paraId="6EB7C5DB" w14:textId="7DCF1AAA" w:rsidR="00D2132A" w:rsidRPr="009E401D" w:rsidRDefault="007222F9" w:rsidP="009E401D">
      <w:pPr>
        <w:spacing w:after="0" w:line="240" w:lineRule="auto"/>
        <w:jc w:val="both"/>
        <w:rPr>
          <w:rFonts w:ascii="Times New Roman" w:hAnsi="Times New Roman" w:cs="Times New Roman"/>
          <w:sz w:val="28"/>
          <w:szCs w:val="28"/>
          <w:rtl/>
          <w:lang w:val="en-US"/>
        </w:rPr>
      </w:pPr>
      <w:r w:rsidRPr="009E401D">
        <w:rPr>
          <w:rFonts w:ascii="Times New Roman" w:hAnsi="Times New Roman" w:cs="Times New Roman"/>
          <w:sz w:val="28"/>
          <w:szCs w:val="28"/>
          <w:lang w:val="fr-FR"/>
        </w:rPr>
        <w:t>Avec l'avènement de l'Organisation Islamique pour la Sécurité Alimentaire (OISA) et compte tenu de son rôle statutaire de coordination des questions de sécurité alimentaire, la coordination de la mise en œuvre des conclusions du plan proposé incomberait à cette nouvelle institution spécialisée de l'OCI pour l'agriculture, le développement rural et la sécurité alimentaire</w:t>
      </w:r>
      <w:r w:rsidR="00D2132A" w:rsidRPr="009E401D">
        <w:rPr>
          <w:rFonts w:ascii="Times New Roman" w:hAnsi="Times New Roman" w:cs="Times New Roman"/>
          <w:sz w:val="28"/>
          <w:szCs w:val="28"/>
          <w:lang w:val="fr-FR"/>
        </w:rPr>
        <w:t>.</w:t>
      </w:r>
    </w:p>
    <w:p w14:paraId="3018AD7C" w14:textId="77777777" w:rsidR="007222F9" w:rsidRPr="009E401D" w:rsidRDefault="007222F9" w:rsidP="009E401D">
      <w:pPr>
        <w:spacing w:after="0" w:line="240" w:lineRule="auto"/>
        <w:jc w:val="both"/>
        <w:rPr>
          <w:rFonts w:ascii="Times New Roman" w:hAnsi="Times New Roman" w:cs="Times New Roman"/>
          <w:b/>
          <w:bCs/>
          <w:sz w:val="28"/>
          <w:szCs w:val="28"/>
          <w:lang w:val="fr-FR"/>
        </w:rPr>
      </w:pPr>
    </w:p>
    <w:p w14:paraId="1B2E5CFE" w14:textId="3E56B3A9" w:rsidR="00D2132A" w:rsidRPr="009E401D" w:rsidRDefault="007222F9" w:rsidP="009E401D">
      <w:pPr>
        <w:spacing w:after="0" w:line="240" w:lineRule="auto"/>
        <w:jc w:val="both"/>
        <w:rPr>
          <w:rFonts w:ascii="Times New Roman" w:hAnsi="Times New Roman" w:cs="Times New Roman"/>
          <w:b/>
          <w:bCs/>
          <w:sz w:val="28"/>
          <w:szCs w:val="28"/>
          <w:lang w:val="fr-FR"/>
        </w:rPr>
      </w:pPr>
      <w:r w:rsidRPr="009E401D">
        <w:rPr>
          <w:rFonts w:ascii="Times New Roman" w:hAnsi="Times New Roman" w:cs="Times New Roman"/>
          <w:b/>
          <w:bCs/>
          <w:sz w:val="28"/>
          <w:szCs w:val="28"/>
          <w:lang w:val="fr-FR"/>
        </w:rPr>
        <w:t>Mécanisme de mise en œuvre</w:t>
      </w:r>
      <w:r w:rsidR="00D2132A" w:rsidRPr="009E401D">
        <w:rPr>
          <w:rFonts w:ascii="Times New Roman" w:hAnsi="Times New Roman" w:cs="Times New Roman"/>
          <w:b/>
          <w:bCs/>
          <w:sz w:val="28"/>
          <w:szCs w:val="28"/>
          <w:rtl/>
        </w:rPr>
        <w:t xml:space="preserve"> </w:t>
      </w:r>
    </w:p>
    <w:p w14:paraId="66881BD1" w14:textId="77777777" w:rsidR="007222F9" w:rsidRPr="009E401D" w:rsidRDefault="007222F9" w:rsidP="009E401D">
      <w:pPr>
        <w:spacing w:after="0" w:line="240" w:lineRule="auto"/>
        <w:jc w:val="both"/>
        <w:rPr>
          <w:rFonts w:ascii="Times New Roman" w:hAnsi="Times New Roman" w:cs="Times New Roman"/>
          <w:sz w:val="28"/>
          <w:szCs w:val="28"/>
          <w:rtl/>
        </w:rPr>
      </w:pPr>
      <w:r w:rsidRPr="009E401D">
        <w:rPr>
          <w:rFonts w:ascii="Times New Roman" w:hAnsi="Times New Roman" w:cs="Times New Roman"/>
          <w:sz w:val="28"/>
          <w:szCs w:val="28"/>
          <w:lang w:val="fr-FR"/>
        </w:rPr>
        <w:t>La mise en œuvre du plan de l'OISA de gestion de l'eau dans l'agriculture sera accompli à travers les actions suivantes:</w:t>
      </w:r>
    </w:p>
    <w:p w14:paraId="0EA018BD" w14:textId="77777777" w:rsidR="007222F9" w:rsidRPr="009E401D" w:rsidRDefault="007222F9" w:rsidP="009E401D">
      <w:pPr>
        <w:pStyle w:val="a3"/>
        <w:numPr>
          <w:ilvl w:val="0"/>
          <w:numId w:val="20"/>
        </w:num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Soutenir l'établissement de partenariats entre les institutions de l'OCI</w:t>
      </w:r>
    </w:p>
    <w:p w14:paraId="2EE1CF25" w14:textId="77777777" w:rsidR="007222F9" w:rsidRPr="009E401D" w:rsidRDefault="007222F9" w:rsidP="009E401D">
      <w:pPr>
        <w:pStyle w:val="a3"/>
        <w:numPr>
          <w:ilvl w:val="0"/>
          <w:numId w:val="20"/>
        </w:num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Organiser les ateliers sur la gestion de l'eau en agriculture.</w:t>
      </w:r>
    </w:p>
    <w:p w14:paraId="05073DE5" w14:textId="53FBA49E" w:rsidR="00D2132A" w:rsidRPr="009E401D" w:rsidRDefault="007222F9" w:rsidP="009E401D">
      <w:pPr>
        <w:pStyle w:val="a3"/>
        <w:numPr>
          <w:ilvl w:val="0"/>
          <w:numId w:val="20"/>
        </w:num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Tenir une table ronde au niveau des experts de tous les États membres de l'OCI</w:t>
      </w:r>
    </w:p>
    <w:p w14:paraId="77E7238D" w14:textId="77777777" w:rsidR="007222F9" w:rsidRPr="009E401D" w:rsidRDefault="007222F9" w:rsidP="009E401D">
      <w:pPr>
        <w:pStyle w:val="a3"/>
        <w:spacing w:after="0" w:line="240" w:lineRule="auto"/>
        <w:jc w:val="both"/>
        <w:rPr>
          <w:rFonts w:ascii="Times New Roman" w:hAnsi="Times New Roman" w:cs="Times New Roman"/>
          <w:sz w:val="28"/>
          <w:szCs w:val="28"/>
          <w:lang w:val="fr-FR"/>
        </w:rPr>
      </w:pPr>
    </w:p>
    <w:p w14:paraId="01DE267A" w14:textId="4FEDC9E7" w:rsidR="00D2132A" w:rsidRPr="009E401D" w:rsidRDefault="003C50F8" w:rsidP="009E401D">
      <w:pPr>
        <w:spacing w:before="120" w:after="0" w:line="240" w:lineRule="auto"/>
        <w:jc w:val="both"/>
        <w:rPr>
          <w:rFonts w:ascii="Times New Roman" w:hAnsi="Times New Roman" w:cs="Times New Roman"/>
          <w:b/>
          <w:bCs/>
          <w:sz w:val="28"/>
          <w:szCs w:val="28"/>
          <w:lang w:val="fr-FR"/>
        </w:rPr>
      </w:pPr>
      <w:r w:rsidRPr="009E401D">
        <w:rPr>
          <w:rFonts w:ascii="Times New Roman" w:hAnsi="Times New Roman" w:cs="Times New Roman"/>
          <w:b/>
          <w:bCs/>
          <w:sz w:val="28"/>
          <w:szCs w:val="28"/>
          <w:lang w:val="fr-FR"/>
        </w:rPr>
        <w:t>La c</w:t>
      </w:r>
      <w:r w:rsidR="00D2132A" w:rsidRPr="009E401D">
        <w:rPr>
          <w:rFonts w:ascii="Times New Roman" w:hAnsi="Times New Roman" w:cs="Times New Roman"/>
          <w:b/>
          <w:bCs/>
          <w:sz w:val="28"/>
          <w:szCs w:val="28"/>
          <w:lang w:val="fr-FR"/>
        </w:rPr>
        <w:t>onclusion</w:t>
      </w:r>
    </w:p>
    <w:p w14:paraId="4276D735" w14:textId="31330B3F" w:rsidR="00D2132A" w:rsidRPr="009E401D" w:rsidRDefault="007222F9"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L'Assemblée Générale examinera la Note conceptuelle de la Gestion de l'eau dans l'agriculture dans les États membres de l'OCI et adoptera la résolution qui favorisera la sensibilisation parmi les États membres de l'OCI et échangera les meilleures pratiques sur la gestion de l'eau pour le développement alimentaire et agricole.</w:t>
      </w:r>
    </w:p>
    <w:p w14:paraId="0768C5F6" w14:textId="597F340D" w:rsidR="00D2132A" w:rsidRPr="009E401D" w:rsidRDefault="00D2132A" w:rsidP="009E401D">
      <w:pPr>
        <w:spacing w:after="0" w:line="240" w:lineRule="auto"/>
        <w:jc w:val="both"/>
        <w:rPr>
          <w:rFonts w:ascii="Times New Roman" w:hAnsi="Times New Roman" w:cs="Times New Roman"/>
          <w:sz w:val="28"/>
          <w:szCs w:val="28"/>
          <w:lang w:val="fr-FR"/>
        </w:rPr>
      </w:pPr>
    </w:p>
    <w:p w14:paraId="0E91C618" w14:textId="0B0164A0" w:rsidR="00D2132A" w:rsidRPr="00FB76F8" w:rsidRDefault="007222F9" w:rsidP="003D31E2">
      <w:pPr>
        <w:pStyle w:val="a3"/>
        <w:numPr>
          <w:ilvl w:val="0"/>
          <w:numId w:val="22"/>
        </w:numPr>
        <w:tabs>
          <w:tab w:val="left" w:pos="993"/>
        </w:tabs>
        <w:spacing w:before="120" w:after="0" w:line="240" w:lineRule="auto"/>
        <w:ind w:left="426" w:hanging="426"/>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Gestion transfrontalière de la lutte antiparasitaire</w:t>
      </w:r>
    </w:p>
    <w:p w14:paraId="096946B6" w14:textId="5975A3B4" w:rsidR="00D2132A" w:rsidRPr="009E401D" w:rsidRDefault="00D2132A" w:rsidP="009E401D">
      <w:pPr>
        <w:spacing w:after="0" w:line="240" w:lineRule="auto"/>
        <w:jc w:val="both"/>
        <w:rPr>
          <w:rFonts w:ascii="Times New Roman" w:hAnsi="Times New Roman" w:cs="Times New Roman"/>
          <w:b/>
          <w:bCs/>
          <w:sz w:val="28"/>
          <w:szCs w:val="28"/>
          <w:lang w:val="fr-FR"/>
        </w:rPr>
      </w:pPr>
      <w:r w:rsidRPr="009E401D">
        <w:rPr>
          <w:rFonts w:ascii="Times New Roman" w:hAnsi="Times New Roman" w:cs="Times New Roman"/>
          <w:b/>
          <w:bCs/>
          <w:sz w:val="28"/>
          <w:szCs w:val="28"/>
          <w:lang w:val="fr-FR"/>
        </w:rPr>
        <w:t>Pr</w:t>
      </w:r>
      <w:r w:rsidR="007222F9" w:rsidRPr="009E401D">
        <w:rPr>
          <w:rFonts w:ascii="Times New Roman" w:hAnsi="Times New Roman" w:cs="Times New Roman"/>
          <w:b/>
          <w:bCs/>
          <w:sz w:val="28"/>
          <w:szCs w:val="28"/>
          <w:lang w:val="fr-FR"/>
        </w:rPr>
        <w:t>é</w:t>
      </w:r>
      <w:r w:rsidRPr="009E401D">
        <w:rPr>
          <w:rFonts w:ascii="Times New Roman" w:hAnsi="Times New Roman" w:cs="Times New Roman"/>
          <w:b/>
          <w:bCs/>
          <w:sz w:val="28"/>
          <w:szCs w:val="28"/>
          <w:lang w:val="fr-FR"/>
        </w:rPr>
        <w:t>amb</w:t>
      </w:r>
      <w:r w:rsidR="007222F9" w:rsidRPr="009E401D">
        <w:rPr>
          <w:rFonts w:ascii="Times New Roman" w:hAnsi="Times New Roman" w:cs="Times New Roman"/>
          <w:b/>
          <w:bCs/>
          <w:sz w:val="28"/>
          <w:szCs w:val="28"/>
          <w:lang w:val="fr-FR"/>
        </w:rPr>
        <w:t>u</w:t>
      </w:r>
      <w:r w:rsidRPr="009E401D">
        <w:rPr>
          <w:rFonts w:ascii="Times New Roman" w:hAnsi="Times New Roman" w:cs="Times New Roman"/>
          <w:b/>
          <w:bCs/>
          <w:sz w:val="28"/>
          <w:szCs w:val="28"/>
          <w:lang w:val="fr-FR"/>
        </w:rPr>
        <w:t>le</w:t>
      </w:r>
    </w:p>
    <w:p w14:paraId="22DA27A2" w14:textId="17A89379" w:rsidR="007222F9" w:rsidRDefault="007222F9"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Début 2020, une épidémie de criquets sans précédent menaçait huit pays de la région de l'Afrique de l'Est à côté de l'Iran et du Pakistan en Asie. La perte estimée de récoltes et de bétail a été estimée à 15 milliards de dollars EU.</w:t>
      </w:r>
    </w:p>
    <w:p w14:paraId="392E48B9" w14:textId="77777777" w:rsidR="009E401D" w:rsidRPr="009E401D" w:rsidRDefault="009E401D" w:rsidP="009E401D">
      <w:pPr>
        <w:spacing w:after="0" w:line="240" w:lineRule="auto"/>
        <w:jc w:val="both"/>
        <w:rPr>
          <w:rFonts w:ascii="Times New Roman" w:hAnsi="Times New Roman" w:cs="Times New Roman"/>
          <w:sz w:val="28"/>
          <w:szCs w:val="28"/>
          <w:lang w:val="fr-FR"/>
        </w:rPr>
      </w:pPr>
    </w:p>
    <w:p w14:paraId="262F2A20" w14:textId="3FA8AAC9" w:rsidR="007222F9" w:rsidRDefault="007222F9"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En réponse à la demande de l'OCI ASG de juin 2020, l'OISA intensifie son action pour lutter contre la menace d'invasion acridienne transfrontière et les ravageurs. À cet égard, les différentes composantes du Plan d'action de l'OCI pour le développement des produits agricoles stratégiques ont des activités transversales sur la lutte contre l'invasion acridienne et les attaques de ravageurs, y compris le développement des capacités, les systèmes d'alerte précoce et le soutien transfrontalier, entre autres.</w:t>
      </w:r>
    </w:p>
    <w:p w14:paraId="44ACC918" w14:textId="77777777" w:rsidR="009E401D" w:rsidRPr="009E401D" w:rsidRDefault="009E401D" w:rsidP="009E401D">
      <w:pPr>
        <w:spacing w:after="0" w:line="240" w:lineRule="auto"/>
        <w:jc w:val="both"/>
        <w:rPr>
          <w:rFonts w:ascii="Times New Roman" w:hAnsi="Times New Roman" w:cs="Times New Roman"/>
          <w:sz w:val="28"/>
          <w:szCs w:val="28"/>
          <w:lang w:val="fr-FR"/>
        </w:rPr>
      </w:pPr>
    </w:p>
    <w:p w14:paraId="7A6FD0E8" w14:textId="33AB8306" w:rsidR="007222F9" w:rsidRDefault="007222F9"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Avant la déclaration de sa réponse au COVID-19 en mai 2020, l'OISA a sensibilisé les différentes agences de financement au sein du système de l'OCI, sur le soutien à la lutte antiparasitaire et aux attaques antiacridiennes dans les États membres de l'OCI. Lors de sa réunion avec l'ITFC en février 2020, le Directeur Général a discuté de la nécessité de soutenir diverses activités de lutte antiparasitaire dans le cadre du Plan d'action pour le développement des produits agricoles stratégiques.</w:t>
      </w:r>
    </w:p>
    <w:p w14:paraId="55CE46D5" w14:textId="77777777" w:rsidR="009E401D" w:rsidRPr="009E401D" w:rsidRDefault="009E401D" w:rsidP="009E401D">
      <w:pPr>
        <w:spacing w:after="0" w:line="240" w:lineRule="auto"/>
        <w:jc w:val="both"/>
        <w:rPr>
          <w:rFonts w:ascii="Times New Roman" w:hAnsi="Times New Roman" w:cs="Times New Roman"/>
          <w:sz w:val="28"/>
          <w:szCs w:val="28"/>
          <w:lang w:val="fr-FR"/>
        </w:rPr>
      </w:pPr>
    </w:p>
    <w:p w14:paraId="07D36E25" w14:textId="7192A34A" w:rsidR="00D2132A" w:rsidRPr="009E401D" w:rsidRDefault="007222F9"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Suite à l'approbation du Programme d'action de l'OCI pour les produits stratégiques et la lutte antiparasitaire et l'éradication des criquets. A cet effet, 1) Compilation de rapports de situation sur la lutte antiparasitaire et les mesures antiacridiennes dans les Etats membres de l'OCI, en collaboration avec les institutions de recherche nationales et internationales; 2) Accroissement de la capacité des Etats membres à renforcer les politiques et réglementations nationales sur la prévision, la surveillance et la gestion des criquets et la lutte antiparasitaire; 3) Facilitation de l'échange de recherches et d'études sur les mesures de lutte contre l'invasion acridienne et la lutte antiparasitaire, y compris l'organisation d'ateliers périodiques entre les centres nationaux d'excellence concernés dans ce domaine. L'OISA invite les Pays Membres de l'OCI à coopérer dans ce programme. Dans le même esprit, l'OISA invite les autres institutions de l'OCI, à savoir la BID et COMSTECH, à coopérer dans sa mise en œuvre pour améliorer la sécurité alimentaire.</w:t>
      </w:r>
      <w:r w:rsidR="00D2132A" w:rsidRPr="009E401D">
        <w:rPr>
          <w:rFonts w:ascii="Times New Roman" w:hAnsi="Times New Roman" w:cs="Times New Roman"/>
          <w:sz w:val="28"/>
          <w:szCs w:val="28"/>
          <w:lang w:val="fr-FR"/>
        </w:rPr>
        <w:t xml:space="preserve"> </w:t>
      </w:r>
    </w:p>
    <w:p w14:paraId="2AC12FAB" w14:textId="77777777" w:rsidR="00D2132A" w:rsidRPr="009E401D" w:rsidRDefault="00D2132A" w:rsidP="009E401D">
      <w:pPr>
        <w:spacing w:after="0" w:line="240" w:lineRule="auto"/>
        <w:jc w:val="both"/>
        <w:rPr>
          <w:rFonts w:ascii="Times New Roman" w:hAnsi="Times New Roman" w:cs="Times New Roman"/>
          <w:sz w:val="28"/>
          <w:szCs w:val="28"/>
          <w:lang w:val="fr-FR"/>
        </w:rPr>
      </w:pPr>
    </w:p>
    <w:p w14:paraId="504E762E" w14:textId="268292CE" w:rsidR="00D2132A" w:rsidRPr="009E401D" w:rsidRDefault="007222F9" w:rsidP="009E401D">
      <w:pPr>
        <w:spacing w:after="0" w:line="240" w:lineRule="auto"/>
        <w:jc w:val="both"/>
        <w:rPr>
          <w:rFonts w:ascii="Times New Roman" w:hAnsi="Times New Roman" w:cs="Times New Roman"/>
          <w:b/>
          <w:bCs/>
          <w:sz w:val="28"/>
          <w:szCs w:val="28"/>
          <w:lang w:val="fr-FR"/>
        </w:rPr>
      </w:pPr>
      <w:r w:rsidRPr="009E401D">
        <w:rPr>
          <w:rFonts w:ascii="Times New Roman" w:hAnsi="Times New Roman" w:cs="Times New Roman"/>
          <w:b/>
          <w:bCs/>
          <w:sz w:val="28"/>
          <w:szCs w:val="28"/>
          <w:lang w:val="fr-FR"/>
        </w:rPr>
        <w:t>L</w:t>
      </w:r>
      <w:r w:rsidR="00931767">
        <w:rPr>
          <w:rFonts w:ascii="Times New Roman" w:hAnsi="Times New Roman" w:cs="Times New Roman"/>
          <w:b/>
          <w:bCs/>
          <w:sz w:val="28"/>
          <w:szCs w:val="28"/>
          <w:lang w:val="fr-FR"/>
        </w:rPr>
        <w:t>e</w:t>
      </w:r>
      <w:r w:rsidRPr="009E401D">
        <w:rPr>
          <w:rFonts w:ascii="Times New Roman" w:hAnsi="Times New Roman" w:cs="Times New Roman"/>
          <w:b/>
          <w:bCs/>
          <w:sz w:val="28"/>
          <w:szCs w:val="28"/>
          <w:lang w:val="fr-FR"/>
        </w:rPr>
        <w:t xml:space="preserve"> suiv</w:t>
      </w:r>
      <w:r w:rsidR="003C50F8" w:rsidRPr="009E401D">
        <w:rPr>
          <w:rFonts w:ascii="Times New Roman" w:hAnsi="Times New Roman" w:cs="Times New Roman"/>
          <w:b/>
          <w:bCs/>
          <w:sz w:val="28"/>
          <w:szCs w:val="28"/>
          <w:lang w:val="fr-FR"/>
        </w:rPr>
        <w:t>i</w:t>
      </w:r>
    </w:p>
    <w:p w14:paraId="2541C9F9" w14:textId="6580486C" w:rsidR="007222F9" w:rsidRDefault="007222F9"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Selon le Plan d'action de l'OCI pour le développement des produits agricoles stratégiques et la lutte antiparasitaire et en réponse à la demande de l'OCI ASG en juin 2020, l'OISA a établi le nouveau programme de lutte contre l'invasion acridienne et proposé un mécanisme de coopération basé sur la compilation de toutes les informations disponibles et des efforts pour mettre en place des systèmes d'alerte rapide robustes pour une réponse rapide à l'invasion acridienne et à la lutte antiparasitaire.</w:t>
      </w:r>
    </w:p>
    <w:p w14:paraId="0567386C" w14:textId="77777777" w:rsidR="009E401D" w:rsidRPr="009E401D" w:rsidRDefault="009E401D" w:rsidP="009E401D">
      <w:pPr>
        <w:spacing w:after="0" w:line="240" w:lineRule="auto"/>
        <w:jc w:val="both"/>
        <w:rPr>
          <w:rFonts w:ascii="Times New Roman" w:hAnsi="Times New Roman" w:cs="Times New Roman"/>
          <w:sz w:val="28"/>
          <w:szCs w:val="28"/>
          <w:lang w:val="fr-FR"/>
        </w:rPr>
      </w:pPr>
    </w:p>
    <w:p w14:paraId="677F1942" w14:textId="35A7FEA8" w:rsidR="00D2132A" w:rsidRPr="009E401D" w:rsidRDefault="007222F9" w:rsidP="009E401D">
      <w:pPr>
        <w:spacing w:after="0" w:line="240" w:lineRule="auto"/>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S'assurer que les Comités de pilotage et de projet concernés dans le cadre du Programme d'action de l'OCI pour le développement des produits stratégiques sont saisis de la question de la lutte contre les attaques de criquets et de ravageurs. Mobiliser le soutien intra-OCI aux niveaux du secteur public et privé pour les diverses activités visant à combattre la menace des attaques de criquets et de ravageurs dans les Etats membres de l'OCI.</w:t>
      </w:r>
    </w:p>
    <w:p w14:paraId="11F8EED8" w14:textId="77777777" w:rsidR="00D2132A" w:rsidRPr="009E401D" w:rsidRDefault="00D2132A" w:rsidP="009E401D">
      <w:pPr>
        <w:spacing w:after="0" w:line="240" w:lineRule="auto"/>
        <w:jc w:val="both"/>
        <w:rPr>
          <w:rFonts w:ascii="Times New Roman" w:hAnsi="Times New Roman" w:cs="Times New Roman"/>
          <w:sz w:val="28"/>
          <w:szCs w:val="28"/>
          <w:lang w:val="fr-FR"/>
        </w:rPr>
      </w:pPr>
    </w:p>
    <w:p w14:paraId="15EF7D3C" w14:textId="331DF701" w:rsidR="00D2132A" w:rsidRPr="009E401D" w:rsidRDefault="003C50F8" w:rsidP="009E401D">
      <w:pPr>
        <w:spacing w:before="120" w:after="0" w:line="240" w:lineRule="auto"/>
        <w:jc w:val="both"/>
        <w:rPr>
          <w:rFonts w:ascii="Times New Roman" w:hAnsi="Times New Roman" w:cs="Times New Roman"/>
          <w:b/>
          <w:bCs/>
          <w:sz w:val="28"/>
          <w:szCs w:val="28"/>
          <w:lang w:val="fr-FR"/>
        </w:rPr>
      </w:pPr>
      <w:r w:rsidRPr="009E401D">
        <w:rPr>
          <w:rFonts w:ascii="Times New Roman" w:hAnsi="Times New Roman" w:cs="Times New Roman"/>
          <w:b/>
          <w:bCs/>
          <w:sz w:val="28"/>
          <w:szCs w:val="28"/>
          <w:lang w:val="fr-FR"/>
        </w:rPr>
        <w:t>La c</w:t>
      </w:r>
      <w:r w:rsidR="00D2132A" w:rsidRPr="009E401D">
        <w:rPr>
          <w:rFonts w:ascii="Times New Roman" w:hAnsi="Times New Roman" w:cs="Times New Roman"/>
          <w:b/>
          <w:bCs/>
          <w:sz w:val="28"/>
          <w:szCs w:val="28"/>
          <w:lang w:val="fr-FR"/>
        </w:rPr>
        <w:t>onclusion</w:t>
      </w:r>
    </w:p>
    <w:p w14:paraId="7FFCADB6" w14:textId="71635832" w:rsidR="00D2132A" w:rsidRPr="009E401D" w:rsidRDefault="007222F9" w:rsidP="009E401D">
      <w:pPr>
        <w:pStyle w:val="a3"/>
        <w:spacing w:before="120" w:after="0" w:line="240" w:lineRule="auto"/>
        <w:ind w:left="0"/>
        <w:jc w:val="both"/>
        <w:rPr>
          <w:rFonts w:ascii="Times New Roman" w:hAnsi="Times New Roman" w:cs="Times New Roman"/>
          <w:sz w:val="28"/>
          <w:szCs w:val="28"/>
          <w:lang w:val="fr-FR"/>
        </w:rPr>
      </w:pPr>
      <w:r w:rsidRPr="009E401D">
        <w:rPr>
          <w:rFonts w:ascii="Times New Roman" w:hAnsi="Times New Roman" w:cs="Times New Roman"/>
          <w:sz w:val="28"/>
          <w:szCs w:val="28"/>
          <w:lang w:val="fr-FR"/>
        </w:rPr>
        <w:t>L'Assemblée Générale est invitée à examiner tous les documents d'information sur le programme susmentionné et à examiner la Note conceptuelle sur la lutte antiparasitaire transfrontière dans les États membres de l'OCI et la création du Comité technique et de ses membres proposés pour approbation</w:t>
      </w:r>
      <w:r w:rsidR="00D2132A" w:rsidRPr="009E401D">
        <w:rPr>
          <w:rFonts w:ascii="Times New Roman" w:hAnsi="Times New Roman" w:cs="Times New Roman"/>
          <w:sz w:val="28"/>
          <w:szCs w:val="28"/>
          <w:lang w:val="fr-FR"/>
        </w:rPr>
        <w:t>.</w:t>
      </w:r>
    </w:p>
    <w:p w14:paraId="6A0D58EA" w14:textId="0C6BEA4B" w:rsidR="00D2132A" w:rsidRPr="00FB76F8" w:rsidRDefault="00D2132A" w:rsidP="00FB76F8">
      <w:pPr>
        <w:spacing w:before="120" w:after="0" w:line="240" w:lineRule="auto"/>
        <w:jc w:val="both"/>
        <w:rPr>
          <w:rFonts w:ascii="Times New Roman" w:hAnsi="Times New Roman" w:cs="Times New Roman"/>
          <w:sz w:val="28"/>
          <w:szCs w:val="28"/>
          <w:lang w:val="fr-FR"/>
        </w:rPr>
      </w:pPr>
    </w:p>
    <w:sectPr w:rsidR="00D2132A" w:rsidRPr="00FB76F8" w:rsidSect="009E401D">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CD093" w14:textId="77777777" w:rsidR="00AE2D88" w:rsidRDefault="00AE2D88" w:rsidP="0059348B">
      <w:pPr>
        <w:spacing w:after="0" w:line="240" w:lineRule="auto"/>
      </w:pPr>
      <w:r>
        <w:separator/>
      </w:r>
    </w:p>
  </w:endnote>
  <w:endnote w:type="continuationSeparator" w:id="0">
    <w:p w14:paraId="3998CE18" w14:textId="77777777" w:rsidR="00AE2D88" w:rsidRDefault="00AE2D88"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87B76" w14:textId="7233DB85" w:rsidR="00197D10" w:rsidRDefault="00197D10">
    <w:pPr>
      <w:pStyle w:val="a8"/>
      <w:jc w:val="center"/>
    </w:pPr>
  </w:p>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DE4AE" w14:textId="77777777" w:rsidR="00AE2D88" w:rsidRDefault="00AE2D88" w:rsidP="0059348B">
      <w:pPr>
        <w:spacing w:after="0" w:line="240" w:lineRule="auto"/>
      </w:pPr>
      <w:r>
        <w:separator/>
      </w:r>
    </w:p>
  </w:footnote>
  <w:footnote w:type="continuationSeparator" w:id="0">
    <w:p w14:paraId="57DD3243" w14:textId="77777777" w:rsidR="00AE2D88" w:rsidRDefault="00AE2D88"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64BA5"/>
    <w:multiLevelType w:val="hybridMultilevel"/>
    <w:tmpl w:val="6642928C"/>
    <w:lvl w:ilvl="0" w:tplc="2DB4B20A">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EA8782F"/>
    <w:multiLevelType w:val="hybridMultilevel"/>
    <w:tmpl w:val="8270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C7755"/>
    <w:multiLevelType w:val="hybridMultilevel"/>
    <w:tmpl w:val="3016311C"/>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766712"/>
    <w:multiLevelType w:val="hybridMultilevel"/>
    <w:tmpl w:val="E5545320"/>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7700B"/>
    <w:multiLevelType w:val="hybridMultilevel"/>
    <w:tmpl w:val="B770EC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AE4FF2"/>
    <w:multiLevelType w:val="hybridMultilevel"/>
    <w:tmpl w:val="F98AA5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D1735"/>
    <w:multiLevelType w:val="hybridMultilevel"/>
    <w:tmpl w:val="AF76BDF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FC2526"/>
    <w:multiLevelType w:val="hybridMultilevel"/>
    <w:tmpl w:val="CB506F5E"/>
    <w:lvl w:ilvl="0" w:tplc="2DB4B20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0685975"/>
    <w:multiLevelType w:val="hybridMultilevel"/>
    <w:tmpl w:val="5A7848D2"/>
    <w:lvl w:ilvl="0" w:tplc="2DB4B20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51F4121"/>
    <w:multiLevelType w:val="hybridMultilevel"/>
    <w:tmpl w:val="DAA8F492"/>
    <w:lvl w:ilvl="0" w:tplc="287A24B4">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6661327"/>
    <w:multiLevelType w:val="hybridMultilevel"/>
    <w:tmpl w:val="F2044DC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542431"/>
    <w:multiLevelType w:val="hybridMultilevel"/>
    <w:tmpl w:val="774892FC"/>
    <w:lvl w:ilvl="0" w:tplc="040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1"/>
  </w:num>
  <w:num w:numId="3">
    <w:abstractNumId w:val="21"/>
  </w:num>
  <w:num w:numId="4">
    <w:abstractNumId w:val="13"/>
  </w:num>
  <w:num w:numId="5">
    <w:abstractNumId w:val="17"/>
  </w:num>
  <w:num w:numId="6">
    <w:abstractNumId w:val="5"/>
  </w:num>
  <w:num w:numId="7">
    <w:abstractNumId w:val="15"/>
  </w:num>
  <w:num w:numId="8">
    <w:abstractNumId w:val="20"/>
  </w:num>
  <w:num w:numId="9">
    <w:abstractNumId w:val="8"/>
  </w:num>
  <w:num w:numId="10">
    <w:abstractNumId w:val="19"/>
  </w:num>
  <w:num w:numId="11">
    <w:abstractNumId w:val="18"/>
  </w:num>
  <w:num w:numId="12">
    <w:abstractNumId w:val="16"/>
  </w:num>
  <w:num w:numId="13">
    <w:abstractNumId w:val="10"/>
  </w:num>
  <w:num w:numId="14">
    <w:abstractNumId w:val="12"/>
  </w:num>
  <w:num w:numId="15">
    <w:abstractNumId w:val="0"/>
  </w:num>
  <w:num w:numId="16">
    <w:abstractNumId w:val="14"/>
  </w:num>
  <w:num w:numId="17">
    <w:abstractNumId w:val="3"/>
  </w:num>
  <w:num w:numId="18">
    <w:abstractNumId w:val="6"/>
  </w:num>
  <w:num w:numId="19">
    <w:abstractNumId w:val="4"/>
  </w:num>
  <w:num w:numId="20">
    <w:abstractNumId w:val="1"/>
  </w:num>
  <w:num w:numId="21">
    <w:abstractNumId w:val="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Mje1NLQ0MjQxMLdQ0lEKTi0uzszPAykwqwUA9I+NrywAAAA="/>
  </w:docVars>
  <w:rsids>
    <w:rsidRoot w:val="00453D0D"/>
    <w:rsid w:val="00024A0C"/>
    <w:rsid w:val="0003554F"/>
    <w:rsid w:val="00050294"/>
    <w:rsid w:val="0005242E"/>
    <w:rsid w:val="000B0126"/>
    <w:rsid w:val="000C3C81"/>
    <w:rsid w:val="000C6F0B"/>
    <w:rsid w:val="000E3B7B"/>
    <w:rsid w:val="00104DC0"/>
    <w:rsid w:val="00106C0B"/>
    <w:rsid w:val="001141CA"/>
    <w:rsid w:val="0013032E"/>
    <w:rsid w:val="00130B7E"/>
    <w:rsid w:val="00193782"/>
    <w:rsid w:val="00197D10"/>
    <w:rsid w:val="00207DCC"/>
    <w:rsid w:val="00210B73"/>
    <w:rsid w:val="002160DB"/>
    <w:rsid w:val="002263A1"/>
    <w:rsid w:val="00251A4A"/>
    <w:rsid w:val="00254061"/>
    <w:rsid w:val="00255F03"/>
    <w:rsid w:val="0025738B"/>
    <w:rsid w:val="00294957"/>
    <w:rsid w:val="00296F54"/>
    <w:rsid w:val="002A11D6"/>
    <w:rsid w:val="002C070C"/>
    <w:rsid w:val="002C56B4"/>
    <w:rsid w:val="002E42C1"/>
    <w:rsid w:val="002F1ED8"/>
    <w:rsid w:val="002F5A8A"/>
    <w:rsid w:val="00324225"/>
    <w:rsid w:val="0034246A"/>
    <w:rsid w:val="00361875"/>
    <w:rsid w:val="0038300F"/>
    <w:rsid w:val="003A6C13"/>
    <w:rsid w:val="003B687C"/>
    <w:rsid w:val="003C024F"/>
    <w:rsid w:val="003C3EB0"/>
    <w:rsid w:val="003C50F8"/>
    <w:rsid w:val="003D31E2"/>
    <w:rsid w:val="003E3337"/>
    <w:rsid w:val="003F740D"/>
    <w:rsid w:val="004030DE"/>
    <w:rsid w:val="004039A0"/>
    <w:rsid w:val="00403A6A"/>
    <w:rsid w:val="00415A3A"/>
    <w:rsid w:val="00421F19"/>
    <w:rsid w:val="00436E75"/>
    <w:rsid w:val="00437140"/>
    <w:rsid w:val="00445366"/>
    <w:rsid w:val="00453D0D"/>
    <w:rsid w:val="00460AD5"/>
    <w:rsid w:val="00474F27"/>
    <w:rsid w:val="004803F3"/>
    <w:rsid w:val="004B2FB7"/>
    <w:rsid w:val="004D625F"/>
    <w:rsid w:val="004E4AEC"/>
    <w:rsid w:val="004E674E"/>
    <w:rsid w:val="004F21FB"/>
    <w:rsid w:val="00500B08"/>
    <w:rsid w:val="00542A3A"/>
    <w:rsid w:val="00546F64"/>
    <w:rsid w:val="00573D5C"/>
    <w:rsid w:val="0059348B"/>
    <w:rsid w:val="005D2323"/>
    <w:rsid w:val="00606F90"/>
    <w:rsid w:val="00624BE7"/>
    <w:rsid w:val="00632130"/>
    <w:rsid w:val="00667873"/>
    <w:rsid w:val="00675232"/>
    <w:rsid w:val="00680DE1"/>
    <w:rsid w:val="00683265"/>
    <w:rsid w:val="0069129B"/>
    <w:rsid w:val="00693BE3"/>
    <w:rsid w:val="006B1EFB"/>
    <w:rsid w:val="006B7C4E"/>
    <w:rsid w:val="006D5197"/>
    <w:rsid w:val="006F1D35"/>
    <w:rsid w:val="007222F9"/>
    <w:rsid w:val="007266FB"/>
    <w:rsid w:val="00742830"/>
    <w:rsid w:val="00753EDA"/>
    <w:rsid w:val="00755AD7"/>
    <w:rsid w:val="00766D52"/>
    <w:rsid w:val="00793191"/>
    <w:rsid w:val="007969A0"/>
    <w:rsid w:val="007C2CDC"/>
    <w:rsid w:val="007C3B2A"/>
    <w:rsid w:val="0080382F"/>
    <w:rsid w:val="008041AA"/>
    <w:rsid w:val="00824657"/>
    <w:rsid w:val="00866B9F"/>
    <w:rsid w:val="008806BA"/>
    <w:rsid w:val="00880F09"/>
    <w:rsid w:val="008A1FB5"/>
    <w:rsid w:val="008A2410"/>
    <w:rsid w:val="008B6D44"/>
    <w:rsid w:val="00931767"/>
    <w:rsid w:val="00942A6E"/>
    <w:rsid w:val="00987B64"/>
    <w:rsid w:val="00990F9A"/>
    <w:rsid w:val="009B037B"/>
    <w:rsid w:val="009B46F4"/>
    <w:rsid w:val="009C2F13"/>
    <w:rsid w:val="009D12C6"/>
    <w:rsid w:val="009E401D"/>
    <w:rsid w:val="00A15561"/>
    <w:rsid w:val="00A30F80"/>
    <w:rsid w:val="00A352D0"/>
    <w:rsid w:val="00A5564C"/>
    <w:rsid w:val="00A64FF5"/>
    <w:rsid w:val="00AB401B"/>
    <w:rsid w:val="00AE2D88"/>
    <w:rsid w:val="00B42039"/>
    <w:rsid w:val="00B57871"/>
    <w:rsid w:val="00B6280D"/>
    <w:rsid w:val="00B96531"/>
    <w:rsid w:val="00BA49CA"/>
    <w:rsid w:val="00BB1FB4"/>
    <w:rsid w:val="00BB526F"/>
    <w:rsid w:val="00BB6A34"/>
    <w:rsid w:val="00BF61C7"/>
    <w:rsid w:val="00C0666C"/>
    <w:rsid w:val="00C15671"/>
    <w:rsid w:val="00C25A9C"/>
    <w:rsid w:val="00C46B5C"/>
    <w:rsid w:val="00C65427"/>
    <w:rsid w:val="00C84EFF"/>
    <w:rsid w:val="00C9210E"/>
    <w:rsid w:val="00C92276"/>
    <w:rsid w:val="00C93B84"/>
    <w:rsid w:val="00C95479"/>
    <w:rsid w:val="00CA4160"/>
    <w:rsid w:val="00CB6E8E"/>
    <w:rsid w:val="00CF2282"/>
    <w:rsid w:val="00D12BB0"/>
    <w:rsid w:val="00D2132A"/>
    <w:rsid w:val="00D27050"/>
    <w:rsid w:val="00D33843"/>
    <w:rsid w:val="00D62B0B"/>
    <w:rsid w:val="00D92521"/>
    <w:rsid w:val="00D9329A"/>
    <w:rsid w:val="00DB1B01"/>
    <w:rsid w:val="00DE5BCA"/>
    <w:rsid w:val="00DE6F26"/>
    <w:rsid w:val="00DF445D"/>
    <w:rsid w:val="00E3359B"/>
    <w:rsid w:val="00E355BE"/>
    <w:rsid w:val="00E617D4"/>
    <w:rsid w:val="00E7550A"/>
    <w:rsid w:val="00E87E06"/>
    <w:rsid w:val="00ED6FE0"/>
    <w:rsid w:val="00F0058C"/>
    <w:rsid w:val="00F476F9"/>
    <w:rsid w:val="00F71FDA"/>
    <w:rsid w:val="00FA2D55"/>
    <w:rsid w:val="00FB55EC"/>
    <w:rsid w:val="00FB76F8"/>
    <w:rsid w:val="00FC6EA1"/>
    <w:rsid w:val="00FD644E"/>
    <w:rsid w:val="00FF19ED"/>
    <w:rsid w:val="00FF5DA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 w:type="paragraph" w:styleId="aa">
    <w:name w:val="Subtitle"/>
    <w:basedOn w:val="a"/>
    <w:next w:val="a"/>
    <w:link w:val="ab"/>
    <w:uiPriority w:val="11"/>
    <w:qFormat/>
    <w:rsid w:val="00D2132A"/>
    <w:pPr>
      <w:numPr>
        <w:ilvl w:val="1"/>
      </w:numPr>
    </w:pPr>
    <w:rPr>
      <w:rFonts w:eastAsiaTheme="minorEastAsia"/>
      <w:color w:val="5A5A5A" w:themeColor="text1" w:themeTint="A5"/>
      <w:spacing w:val="15"/>
      <w:lang w:val="en-US"/>
    </w:rPr>
  </w:style>
  <w:style w:type="character" w:customStyle="1" w:styleId="ab">
    <w:name w:val="Подзаголовок Знак"/>
    <w:basedOn w:val="a0"/>
    <w:link w:val="aa"/>
    <w:uiPriority w:val="11"/>
    <w:rsid w:val="00D2132A"/>
    <w:rPr>
      <w:rFonts w:eastAsiaTheme="minorEastAsia"/>
      <w:color w:val="5A5A5A" w:themeColor="text1" w:themeTint="A5"/>
      <w:spacing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1508</Words>
  <Characters>8597</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WW</cp:lastModifiedBy>
  <cp:revision>7</cp:revision>
  <cp:lastPrinted>2020-10-14T12:48:00Z</cp:lastPrinted>
  <dcterms:created xsi:type="dcterms:W3CDTF">2020-11-06T09:34:00Z</dcterms:created>
  <dcterms:modified xsi:type="dcterms:W3CDTF">2020-11-06T12:16:00Z</dcterms:modified>
</cp:coreProperties>
</file>